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8F62" w14:textId="77777777" w:rsidR="00AE28BE" w:rsidRDefault="00AE28BE" w:rsidP="00D836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674E0F" w14:textId="706A3A83" w:rsidR="00B75E25" w:rsidRDefault="004F2198" w:rsidP="00D836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361E">
        <w:rPr>
          <w:rFonts w:ascii="Arial" w:hAnsi="Arial" w:cs="Arial"/>
          <w:sz w:val="20"/>
          <w:szCs w:val="20"/>
        </w:rPr>
        <w:t>ENAIRE</w:t>
      </w:r>
      <w:r w:rsidR="00B75E25">
        <w:rPr>
          <w:rFonts w:ascii="Arial" w:hAnsi="Arial" w:cs="Arial"/>
          <w:sz w:val="20"/>
          <w:szCs w:val="20"/>
        </w:rPr>
        <w:t xml:space="preserve"> posee</w:t>
      </w:r>
      <w:r w:rsidRPr="00D8361E">
        <w:rPr>
          <w:rFonts w:ascii="Arial" w:hAnsi="Arial" w:cs="Arial"/>
          <w:sz w:val="20"/>
          <w:szCs w:val="20"/>
        </w:rPr>
        <w:t xml:space="preserve"> un </w:t>
      </w:r>
      <w:r w:rsidR="00775DA9">
        <w:rPr>
          <w:rFonts w:ascii="Arial" w:hAnsi="Arial" w:cs="Arial"/>
          <w:sz w:val="20"/>
          <w:szCs w:val="20"/>
        </w:rPr>
        <w:t>S</w:t>
      </w:r>
      <w:r w:rsidRPr="00D8361E">
        <w:rPr>
          <w:rFonts w:ascii="Arial" w:hAnsi="Arial" w:cs="Arial"/>
          <w:sz w:val="20"/>
          <w:szCs w:val="20"/>
        </w:rPr>
        <w:t xml:space="preserve">istema de </w:t>
      </w:r>
      <w:r w:rsidR="00775DA9">
        <w:rPr>
          <w:rFonts w:ascii="Arial" w:hAnsi="Arial" w:cs="Arial"/>
          <w:sz w:val="20"/>
          <w:szCs w:val="20"/>
        </w:rPr>
        <w:t>C</w:t>
      </w:r>
      <w:r w:rsidRPr="00D8361E">
        <w:rPr>
          <w:rFonts w:ascii="Arial" w:hAnsi="Arial" w:cs="Arial"/>
          <w:sz w:val="20"/>
          <w:szCs w:val="20"/>
        </w:rPr>
        <w:t xml:space="preserve">ontrol </w:t>
      </w:r>
      <w:r w:rsidR="00775DA9">
        <w:rPr>
          <w:rFonts w:ascii="Arial" w:hAnsi="Arial" w:cs="Arial"/>
          <w:sz w:val="20"/>
          <w:szCs w:val="20"/>
        </w:rPr>
        <w:t>I</w:t>
      </w:r>
      <w:r w:rsidRPr="00D8361E">
        <w:rPr>
          <w:rFonts w:ascii="Arial" w:hAnsi="Arial" w:cs="Arial"/>
          <w:sz w:val="20"/>
          <w:szCs w:val="20"/>
        </w:rPr>
        <w:t xml:space="preserve">nterno de la </w:t>
      </w:r>
      <w:r w:rsidR="00775DA9">
        <w:rPr>
          <w:rFonts w:ascii="Arial" w:hAnsi="Arial" w:cs="Arial"/>
          <w:sz w:val="20"/>
          <w:szCs w:val="20"/>
        </w:rPr>
        <w:t>I</w:t>
      </w:r>
      <w:r w:rsidRPr="00D8361E">
        <w:rPr>
          <w:rFonts w:ascii="Arial" w:hAnsi="Arial" w:cs="Arial"/>
          <w:sz w:val="20"/>
          <w:szCs w:val="20"/>
        </w:rPr>
        <w:t xml:space="preserve">nformación </w:t>
      </w:r>
      <w:r w:rsidR="00775DA9">
        <w:rPr>
          <w:rFonts w:ascii="Arial" w:hAnsi="Arial" w:cs="Arial"/>
          <w:sz w:val="20"/>
          <w:szCs w:val="20"/>
        </w:rPr>
        <w:t>F</w:t>
      </w:r>
      <w:r w:rsidRPr="00D8361E">
        <w:rPr>
          <w:rFonts w:ascii="Arial" w:hAnsi="Arial" w:cs="Arial"/>
          <w:sz w:val="20"/>
          <w:szCs w:val="20"/>
        </w:rPr>
        <w:t>inanciera basado en los requisitos establecidos por la Intervención General de la Administración del Estado (IGAE).</w:t>
      </w:r>
      <w:r w:rsidR="00B75E25">
        <w:rPr>
          <w:rFonts w:ascii="Arial" w:hAnsi="Arial" w:cs="Arial"/>
          <w:sz w:val="20"/>
          <w:szCs w:val="20"/>
        </w:rPr>
        <w:t xml:space="preserve"> Dicho sistema se encuentra soportado en NUBE a través de un sitio de colaboración.</w:t>
      </w:r>
    </w:p>
    <w:p w14:paraId="68387B59" w14:textId="3653A3E9" w:rsidR="006725AE" w:rsidRDefault="006725AE" w:rsidP="006725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AE">
        <w:rPr>
          <w:rFonts w:ascii="Arial" w:hAnsi="Arial" w:cs="Arial"/>
          <w:sz w:val="20"/>
          <w:szCs w:val="20"/>
        </w:rPr>
        <w:t xml:space="preserve">Este sistema, voluntario y sin obligatoriedad legal para la Entidad, forma parte del control interno y se configura como el conjunto de procesos que la </w:t>
      </w:r>
      <w:r w:rsidR="003F75E0">
        <w:rPr>
          <w:rFonts w:ascii="Arial" w:hAnsi="Arial" w:cs="Arial"/>
          <w:sz w:val="20"/>
          <w:szCs w:val="20"/>
        </w:rPr>
        <w:t>E</w:t>
      </w:r>
      <w:r w:rsidRPr="006725AE">
        <w:rPr>
          <w:rFonts w:ascii="Arial" w:hAnsi="Arial" w:cs="Arial"/>
          <w:sz w:val="20"/>
          <w:szCs w:val="20"/>
        </w:rPr>
        <w:t>ntidad lleva a cabo para proporcionar una seguridad razonable respecto a la fiabilidad de la información financiera que se publica y reporta a los distintos organismos y clientes de ENAIRE, teniendo en cuenta el carácter anual de la Información Financiera Pública de ENAIRE.</w:t>
      </w:r>
    </w:p>
    <w:p w14:paraId="602A7CC6" w14:textId="77777777" w:rsidR="004F2198" w:rsidRPr="00854828" w:rsidRDefault="004F2198" w:rsidP="004F21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828">
        <w:rPr>
          <w:rFonts w:ascii="Arial" w:hAnsi="Arial" w:cs="Arial"/>
          <w:sz w:val="20"/>
          <w:szCs w:val="20"/>
        </w:rPr>
        <w:t>El objetivo del Sistema es asegurar que:</w:t>
      </w:r>
    </w:p>
    <w:p w14:paraId="5901A446" w14:textId="7FA27292" w:rsidR="004F2198" w:rsidRPr="00854828" w:rsidRDefault="004F2198" w:rsidP="004F2198">
      <w:pPr>
        <w:pStyle w:val="Prrafode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854828">
        <w:rPr>
          <w:rFonts w:ascii="Arial" w:hAnsi="Arial" w:cs="Arial"/>
        </w:rPr>
        <w:t>Las transacciones, hechos y demás eventos recogidos para la información financiera efectivamente existen y se han registrado en el momento adecuado (existencia y ocurrencia)</w:t>
      </w:r>
      <w:r w:rsidR="00E2650E">
        <w:rPr>
          <w:rFonts w:ascii="Arial" w:hAnsi="Arial" w:cs="Arial"/>
        </w:rPr>
        <w:t>.</w:t>
      </w:r>
    </w:p>
    <w:p w14:paraId="2F08044C" w14:textId="16125A88" w:rsidR="004F2198" w:rsidRPr="00854828" w:rsidRDefault="004F2198" w:rsidP="004F2198">
      <w:pPr>
        <w:pStyle w:val="Prrafode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854828">
        <w:rPr>
          <w:rFonts w:ascii="Arial" w:hAnsi="Arial" w:cs="Arial"/>
        </w:rPr>
        <w:t>La información refleja la totalidad de las transacciones, hechos y demás eventos en los que la entidad es parte afectada (integridad)</w:t>
      </w:r>
      <w:r w:rsidR="00E2650E">
        <w:rPr>
          <w:rFonts w:ascii="Arial" w:hAnsi="Arial" w:cs="Arial"/>
        </w:rPr>
        <w:t>.</w:t>
      </w:r>
    </w:p>
    <w:p w14:paraId="61999C8B" w14:textId="5927C0E3" w:rsidR="004F2198" w:rsidRPr="00854828" w:rsidRDefault="004F2198" w:rsidP="004F2198">
      <w:pPr>
        <w:pStyle w:val="Prrafode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854828">
        <w:rPr>
          <w:rFonts w:ascii="Arial" w:hAnsi="Arial" w:cs="Arial"/>
        </w:rPr>
        <w:t>Las transacciones, hechos y demás eventos se registran y valoran de conformidad con la normativa aplicable (valoración)</w:t>
      </w:r>
      <w:r w:rsidR="00E2650E">
        <w:rPr>
          <w:rFonts w:ascii="Arial" w:hAnsi="Arial" w:cs="Arial"/>
        </w:rPr>
        <w:t>.</w:t>
      </w:r>
    </w:p>
    <w:p w14:paraId="5D175E88" w14:textId="651FA81E" w:rsidR="004F2198" w:rsidRPr="00854828" w:rsidRDefault="004F2198" w:rsidP="004F2198">
      <w:pPr>
        <w:pStyle w:val="Prrafode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854828">
        <w:rPr>
          <w:rFonts w:ascii="Arial" w:hAnsi="Arial" w:cs="Arial"/>
        </w:rPr>
        <w:t>Las transacciones, hechos y demás eventos se clasifican</w:t>
      </w:r>
      <w:r w:rsidR="00775DA9">
        <w:rPr>
          <w:rFonts w:ascii="Arial" w:hAnsi="Arial" w:cs="Arial"/>
        </w:rPr>
        <w:t>,</w:t>
      </w:r>
      <w:r w:rsidRPr="00854828">
        <w:rPr>
          <w:rFonts w:ascii="Arial" w:hAnsi="Arial" w:cs="Arial"/>
        </w:rPr>
        <w:t xml:space="preserve"> presentan y revelan en la información financiera de acuerdo con la normativa aplicable (presentación, desglose y comparabilidad)</w:t>
      </w:r>
      <w:r w:rsidR="00E2650E">
        <w:rPr>
          <w:rFonts w:ascii="Arial" w:hAnsi="Arial" w:cs="Arial"/>
        </w:rPr>
        <w:t>.</w:t>
      </w:r>
    </w:p>
    <w:p w14:paraId="64925FAB" w14:textId="0A817712" w:rsidR="004F2198" w:rsidRPr="00854828" w:rsidRDefault="004F2198" w:rsidP="004F2198">
      <w:pPr>
        <w:pStyle w:val="Prrafode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854828">
        <w:rPr>
          <w:rFonts w:ascii="Arial" w:hAnsi="Arial" w:cs="Arial"/>
        </w:rPr>
        <w:t>La información financiera refleja, a la fecha correspondiente, los derechos y las obligaciones a través de los correspondientes activos y pasivos, de conformidad con la normativa aplicable (derechos y obligaciones)</w:t>
      </w:r>
      <w:r w:rsidR="00E2650E">
        <w:rPr>
          <w:rFonts w:ascii="Arial" w:hAnsi="Arial" w:cs="Arial"/>
        </w:rPr>
        <w:t>.</w:t>
      </w:r>
    </w:p>
    <w:p w14:paraId="1BC8BAA3" w14:textId="1271C550" w:rsidR="004F2198" w:rsidRPr="00743C2F" w:rsidRDefault="004F2198" w:rsidP="002046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3C2F">
        <w:rPr>
          <w:rFonts w:ascii="Arial" w:hAnsi="Arial" w:cs="Arial"/>
          <w:sz w:val="20"/>
          <w:szCs w:val="20"/>
        </w:rPr>
        <w:t>El Sistema de Control Interno de la Información Financiera desarrollado por ENAIRE está constituido por las siguientes acciones:</w:t>
      </w:r>
    </w:p>
    <w:p w14:paraId="7EACC592" w14:textId="77777777" w:rsidR="004F2198" w:rsidRPr="00743C2F" w:rsidRDefault="004F2198" w:rsidP="00204651">
      <w:pPr>
        <w:pStyle w:val="Prrafodelista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</w:rPr>
      </w:pPr>
      <w:r w:rsidRPr="00743C2F">
        <w:rPr>
          <w:rFonts w:ascii="Arial" w:hAnsi="Arial" w:cs="Arial"/>
        </w:rPr>
        <w:t>Identificación de los procesos relevantes.</w:t>
      </w:r>
    </w:p>
    <w:p w14:paraId="45246162" w14:textId="77777777" w:rsidR="004F2198" w:rsidRPr="00743C2F" w:rsidRDefault="004F2198" w:rsidP="00204651">
      <w:pPr>
        <w:pStyle w:val="Prrafodelista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</w:rPr>
      </w:pPr>
      <w:r w:rsidRPr="00743C2F">
        <w:rPr>
          <w:rFonts w:ascii="Arial" w:hAnsi="Arial" w:cs="Arial"/>
        </w:rPr>
        <w:t>Identificación de la Actividad.</w:t>
      </w:r>
    </w:p>
    <w:p w14:paraId="1FB8C372" w14:textId="77777777" w:rsidR="004F2198" w:rsidRPr="00743C2F" w:rsidRDefault="004F2198" w:rsidP="00204651">
      <w:pPr>
        <w:pStyle w:val="Prrafodelista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</w:rPr>
      </w:pPr>
      <w:r w:rsidRPr="00743C2F">
        <w:rPr>
          <w:rFonts w:ascii="Arial" w:hAnsi="Arial" w:cs="Arial"/>
        </w:rPr>
        <w:t>Identificación del Riesgo.</w:t>
      </w:r>
    </w:p>
    <w:p w14:paraId="0E2EB3E6" w14:textId="77777777" w:rsidR="004F2198" w:rsidRPr="00743C2F" w:rsidRDefault="004F2198" w:rsidP="00204651">
      <w:pPr>
        <w:pStyle w:val="Prrafodelista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</w:rPr>
      </w:pPr>
      <w:r w:rsidRPr="00743C2F">
        <w:rPr>
          <w:rFonts w:ascii="Arial" w:hAnsi="Arial" w:cs="Arial"/>
        </w:rPr>
        <w:t>Búsqueda de controles a realizar.</w:t>
      </w:r>
    </w:p>
    <w:p w14:paraId="30B83CF9" w14:textId="71CDEB24" w:rsidR="004F2198" w:rsidRPr="00743C2F" w:rsidRDefault="004F2198" w:rsidP="00204651">
      <w:pPr>
        <w:pStyle w:val="Prrafodelista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</w:rPr>
      </w:pPr>
      <w:r w:rsidRPr="00743C2F">
        <w:rPr>
          <w:rFonts w:ascii="Arial" w:hAnsi="Arial" w:cs="Arial"/>
        </w:rPr>
        <w:t xml:space="preserve">Análisis de la </w:t>
      </w:r>
      <w:r w:rsidR="00E2650E">
        <w:rPr>
          <w:rFonts w:ascii="Arial" w:hAnsi="Arial" w:cs="Arial"/>
        </w:rPr>
        <w:t>necesariedad</w:t>
      </w:r>
      <w:r w:rsidR="00E2650E" w:rsidRPr="00743C2F">
        <w:rPr>
          <w:rFonts w:ascii="Arial" w:hAnsi="Arial" w:cs="Arial"/>
        </w:rPr>
        <w:t xml:space="preserve"> </w:t>
      </w:r>
      <w:r w:rsidRPr="00743C2F">
        <w:rPr>
          <w:rFonts w:ascii="Arial" w:hAnsi="Arial" w:cs="Arial"/>
        </w:rPr>
        <w:t>y frecuencia del control.</w:t>
      </w:r>
    </w:p>
    <w:p w14:paraId="2707DBB3" w14:textId="03C2A93C" w:rsidR="004F2198" w:rsidRPr="00743C2F" w:rsidRDefault="00E2650E" w:rsidP="004F2198">
      <w:pPr>
        <w:pStyle w:val="Prrafodelista"/>
        <w:numPr>
          <w:ilvl w:val="0"/>
          <w:numId w:val="2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Identificación de las</w:t>
      </w:r>
      <w:r w:rsidRPr="00743C2F">
        <w:rPr>
          <w:rFonts w:ascii="Arial" w:hAnsi="Arial" w:cs="Arial"/>
        </w:rPr>
        <w:t xml:space="preserve"> </w:t>
      </w:r>
      <w:r w:rsidR="004F2198" w:rsidRPr="00743C2F">
        <w:rPr>
          <w:rFonts w:ascii="Arial" w:hAnsi="Arial" w:cs="Arial"/>
        </w:rPr>
        <w:t>evidencias a documentar.</w:t>
      </w:r>
    </w:p>
    <w:p w14:paraId="7C73E45A" w14:textId="730778DD" w:rsidR="00066910" w:rsidRPr="00E86142" w:rsidRDefault="004F2198" w:rsidP="002046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4651">
        <w:rPr>
          <w:rFonts w:ascii="Arial" w:hAnsi="Arial" w:cs="Arial"/>
          <w:sz w:val="20"/>
          <w:szCs w:val="20"/>
        </w:rPr>
        <w:t>Las tareas de control son llevadas a cabo por todos los niveles organizativos, con el objetivo de mitigar el riesgo de error, omisión o fraude que influyen en la fiabilidad de la información financiera.</w:t>
      </w:r>
    </w:p>
    <w:p w14:paraId="2EFA335D" w14:textId="3044A8F0" w:rsidR="00743C2F" w:rsidRDefault="004F2198" w:rsidP="002046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04651">
        <w:rPr>
          <w:rFonts w:ascii="Arial" w:hAnsi="Arial" w:cs="Arial"/>
          <w:sz w:val="20"/>
          <w:szCs w:val="20"/>
        </w:rPr>
        <w:t xml:space="preserve">Entre las unidades implicadas </w:t>
      </w:r>
      <w:r w:rsidR="005E7082" w:rsidRPr="00204651">
        <w:rPr>
          <w:rFonts w:ascii="Arial" w:hAnsi="Arial" w:cs="Arial"/>
          <w:sz w:val="20"/>
          <w:szCs w:val="20"/>
        </w:rPr>
        <w:t>destacan</w:t>
      </w:r>
      <w:r w:rsidR="00542175" w:rsidRPr="00204651">
        <w:rPr>
          <w:rFonts w:ascii="Arial" w:hAnsi="Arial" w:cs="Arial"/>
          <w:sz w:val="20"/>
          <w:szCs w:val="20"/>
        </w:rPr>
        <w:t>:</w:t>
      </w:r>
      <w:r w:rsidRPr="00204651">
        <w:rPr>
          <w:rFonts w:ascii="Arial" w:hAnsi="Arial" w:cs="Arial"/>
          <w:sz w:val="20"/>
          <w:szCs w:val="20"/>
        </w:rPr>
        <w:t xml:space="preserve"> </w:t>
      </w:r>
      <w:r w:rsidR="00854828" w:rsidRPr="00204651">
        <w:rPr>
          <w:rFonts w:ascii="Arial" w:hAnsi="Arial" w:cs="Arial"/>
          <w:sz w:val="20"/>
          <w:szCs w:val="20"/>
        </w:rPr>
        <w:t>e</w:t>
      </w:r>
      <w:r w:rsidRPr="00204651">
        <w:rPr>
          <w:rFonts w:ascii="Arial" w:hAnsi="Arial" w:cs="Arial"/>
          <w:sz w:val="20"/>
          <w:szCs w:val="20"/>
        </w:rPr>
        <w:t>l Consejo</w:t>
      </w:r>
      <w:r w:rsidR="00810D13">
        <w:rPr>
          <w:rFonts w:ascii="Arial" w:hAnsi="Arial" w:cs="Arial"/>
          <w:sz w:val="20"/>
          <w:szCs w:val="20"/>
        </w:rPr>
        <w:t xml:space="preserve"> Rector</w:t>
      </w:r>
      <w:r w:rsidRPr="00204651">
        <w:rPr>
          <w:rFonts w:ascii="Arial" w:hAnsi="Arial" w:cs="Arial"/>
          <w:sz w:val="20"/>
          <w:szCs w:val="20"/>
        </w:rPr>
        <w:t xml:space="preserve"> como el máximo órgano de decisión, supervisión y control</w:t>
      </w:r>
      <w:r w:rsidR="00775DA9" w:rsidRPr="00204651">
        <w:rPr>
          <w:rFonts w:ascii="Arial" w:hAnsi="Arial" w:cs="Arial"/>
          <w:sz w:val="20"/>
          <w:szCs w:val="20"/>
        </w:rPr>
        <w:t>;</w:t>
      </w:r>
      <w:r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 la Dirección General/Presidencia encargada de asegurar la existencia de una estructura organizativa adecuada</w:t>
      </w:r>
      <w:r w:rsidR="00F47CAE" w:rsidRPr="00EE4F7A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47CAE"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una correcta distribución de las funciones y </w:t>
      </w:r>
      <w:r w:rsidR="00A71DF5">
        <w:rPr>
          <w:rFonts w:ascii="Arial" w:eastAsia="Times New Roman" w:hAnsi="Arial" w:cs="Arial"/>
          <w:sz w:val="20"/>
          <w:szCs w:val="20"/>
          <w:lang w:eastAsia="es-ES"/>
        </w:rPr>
        <w:t xml:space="preserve">de que </w:t>
      </w:r>
      <w:r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se disponga de procedimientos </w:t>
      </w:r>
      <w:r w:rsidR="005E7082" w:rsidRPr="00EE4F7A">
        <w:rPr>
          <w:rFonts w:ascii="Arial" w:eastAsia="Times New Roman" w:hAnsi="Arial" w:cs="Arial"/>
          <w:sz w:val="20"/>
          <w:szCs w:val="20"/>
          <w:lang w:eastAsia="es-ES"/>
        </w:rPr>
        <w:t>suficientes</w:t>
      </w:r>
      <w:r w:rsidR="00775DA9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854828"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 la Dirección de Personas encargada de que el personal disponga de los conocimientos técnicos adecuados a cada puesto</w:t>
      </w:r>
      <w:r w:rsidR="00775DA9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54828" w:rsidRPr="00EE4F7A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Pr="00EE4F7A">
        <w:rPr>
          <w:rFonts w:ascii="Arial" w:eastAsia="Times New Roman" w:hAnsi="Arial" w:cs="Arial"/>
          <w:sz w:val="20"/>
          <w:szCs w:val="20"/>
          <w:lang w:eastAsia="es-ES"/>
        </w:rPr>
        <w:t>a Dirección Económico-Financiera</w:t>
      </w:r>
      <w:r w:rsidR="00854828" w:rsidRPr="00EE4F7A">
        <w:rPr>
          <w:rFonts w:ascii="Arial" w:eastAsia="Times New Roman" w:hAnsi="Arial" w:cs="Arial"/>
          <w:sz w:val="20"/>
          <w:szCs w:val="20"/>
          <w:lang w:eastAsia="es-ES"/>
        </w:rPr>
        <w:t xml:space="preserve"> que </w:t>
      </w:r>
      <w:r w:rsidR="00F47CAE" w:rsidRPr="00EE4F7A">
        <w:rPr>
          <w:rFonts w:ascii="Arial" w:eastAsia="Times New Roman" w:hAnsi="Arial" w:cs="Arial"/>
          <w:sz w:val="20"/>
          <w:szCs w:val="20"/>
          <w:lang w:eastAsia="es-ES"/>
        </w:rPr>
        <w:t>dirige y supervisa la gestión económica y la aplicación de políticas y directrices económicas, realizando el control necesario para el cumplimiento de los objetivos establecido</w:t>
      </w:r>
      <w:r w:rsidR="00EE4F7A" w:rsidRPr="00EE4F7A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810D13">
        <w:rPr>
          <w:rFonts w:ascii="Arial" w:eastAsia="Times New Roman" w:hAnsi="Arial" w:cs="Arial"/>
          <w:sz w:val="20"/>
          <w:szCs w:val="20"/>
          <w:lang w:eastAsia="es-ES"/>
        </w:rPr>
        <w:t>, entre otras unidades.</w:t>
      </w:r>
    </w:p>
    <w:p w14:paraId="0300D55D" w14:textId="44A87A3B" w:rsidR="001E75AE" w:rsidRPr="00743C2F" w:rsidRDefault="00854828" w:rsidP="00204651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75E25">
        <w:rPr>
          <w:rFonts w:ascii="Arial" w:eastAsia="Times New Roman" w:hAnsi="Arial" w:cs="Arial"/>
          <w:sz w:val="20"/>
          <w:szCs w:val="20"/>
          <w:lang w:eastAsia="es-ES"/>
        </w:rPr>
        <w:t>Considerando su relevancia sobre los Estados Financieros</w:t>
      </w:r>
      <w:r w:rsidR="005E7082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el sistema </w:t>
      </w:r>
      <w:r w:rsidR="00A71DF5">
        <w:rPr>
          <w:rFonts w:ascii="Arial" w:eastAsia="Times New Roman" w:hAnsi="Arial" w:cs="Arial"/>
          <w:sz w:val="20"/>
          <w:szCs w:val="20"/>
          <w:lang w:eastAsia="es-ES"/>
        </w:rPr>
        <w:t>está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75E25">
        <w:rPr>
          <w:rFonts w:ascii="Arial" w:eastAsia="Times New Roman" w:hAnsi="Arial" w:cs="Arial"/>
          <w:sz w:val="20"/>
          <w:szCs w:val="20"/>
          <w:lang w:eastAsia="es-ES"/>
        </w:rPr>
        <w:t>definido</w:t>
      </w:r>
      <w:r w:rsidR="001E75AE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en </w:t>
      </w:r>
      <w:r w:rsidR="005E7082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base a </w:t>
      </w:r>
      <w:r w:rsidR="001E75AE" w:rsidRPr="00B75E25">
        <w:rPr>
          <w:rFonts w:ascii="Arial" w:eastAsia="Times New Roman" w:hAnsi="Arial" w:cs="Arial"/>
          <w:sz w:val="20"/>
          <w:szCs w:val="20"/>
          <w:lang w:eastAsia="es-ES"/>
        </w:rPr>
        <w:t>siete matrices de procesos identificados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>: Activos Fijos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Tesorería e Inversiones financieras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Gastos de Personal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Ingresos por Ayudas a la Navegación Aérea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Adquisiciones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Impuestos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B75E25" w:rsidRPr="00B75E25">
        <w:rPr>
          <w:rFonts w:ascii="Arial" w:eastAsia="Times New Roman" w:hAnsi="Arial" w:cs="Arial"/>
          <w:sz w:val="20"/>
          <w:szCs w:val="20"/>
          <w:lang w:eastAsia="es-ES"/>
        </w:rPr>
        <w:t xml:space="preserve"> Cierre, Consolidación y Reporte</w:t>
      </w:r>
      <w:r w:rsidR="00B75E25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205FF3D" w14:textId="77777777" w:rsidR="004F2198" w:rsidRPr="006F6D5A" w:rsidRDefault="004F2198" w:rsidP="004F21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F2198" w:rsidRPr="006F6D5A" w:rsidSect="004E51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C6A0" w14:textId="77777777" w:rsidR="00147377" w:rsidRDefault="00147377" w:rsidP="00AE28BE">
      <w:pPr>
        <w:spacing w:after="0" w:line="240" w:lineRule="auto"/>
      </w:pPr>
      <w:r>
        <w:separator/>
      </w:r>
    </w:p>
  </w:endnote>
  <w:endnote w:type="continuationSeparator" w:id="0">
    <w:p w14:paraId="68107817" w14:textId="77777777" w:rsidR="00147377" w:rsidRDefault="00147377" w:rsidP="00AE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B8AE" w14:textId="77777777" w:rsidR="00147377" w:rsidRDefault="00147377" w:rsidP="00AE28BE">
      <w:pPr>
        <w:spacing w:after="0" w:line="240" w:lineRule="auto"/>
      </w:pPr>
      <w:r>
        <w:separator/>
      </w:r>
    </w:p>
  </w:footnote>
  <w:footnote w:type="continuationSeparator" w:id="0">
    <w:p w14:paraId="7152239E" w14:textId="77777777" w:rsidR="00147377" w:rsidRDefault="00147377" w:rsidP="00AE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3481" w14:textId="77777777" w:rsidR="00AE28BE" w:rsidRDefault="00AE28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FDDA293" wp14:editId="44B2970D">
          <wp:simplePos x="0" y="0"/>
          <wp:positionH relativeFrom="column">
            <wp:posOffset>-483235</wp:posOffset>
          </wp:positionH>
          <wp:positionV relativeFrom="paragraph">
            <wp:posOffset>-142240</wp:posOffset>
          </wp:positionV>
          <wp:extent cx="2085340" cy="455295"/>
          <wp:effectExtent l="0" t="0" r="0" b="1905"/>
          <wp:wrapNone/>
          <wp:docPr id="1" name="Imagen 1" descr="D:\Users\mcgcortes\AppData\Local\Microsoft\Windows\Temporary Internet Files\Content.Outlook\DQC2CAN5\Logo En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Users\mcgcortes\AppData\Local\Microsoft\Windows\Temporary Internet Files\Content.Outlook\DQC2CAN5\Logo Ena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9F9"/>
    <w:multiLevelType w:val="hybridMultilevel"/>
    <w:tmpl w:val="9F0AC066"/>
    <w:lvl w:ilvl="0" w:tplc="8518747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3EA8"/>
    <w:multiLevelType w:val="hybridMultilevel"/>
    <w:tmpl w:val="3D508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1D9"/>
    <w:multiLevelType w:val="hybridMultilevel"/>
    <w:tmpl w:val="6BDA0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6EE"/>
    <w:multiLevelType w:val="hybridMultilevel"/>
    <w:tmpl w:val="05140EF2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756051969">
    <w:abstractNumId w:val="1"/>
  </w:num>
  <w:num w:numId="2" w16cid:durableId="1337685754">
    <w:abstractNumId w:val="3"/>
  </w:num>
  <w:num w:numId="3" w16cid:durableId="2132554477">
    <w:abstractNumId w:val="2"/>
  </w:num>
  <w:num w:numId="4" w16cid:durableId="19485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98"/>
    <w:rsid w:val="00066910"/>
    <w:rsid w:val="00147377"/>
    <w:rsid w:val="001E75AE"/>
    <w:rsid w:val="00204651"/>
    <w:rsid w:val="00227FD3"/>
    <w:rsid w:val="003F75E0"/>
    <w:rsid w:val="004E51B9"/>
    <w:rsid w:val="004F2198"/>
    <w:rsid w:val="00542175"/>
    <w:rsid w:val="005E7082"/>
    <w:rsid w:val="006725AE"/>
    <w:rsid w:val="006F6D5A"/>
    <w:rsid w:val="00743C2F"/>
    <w:rsid w:val="00775DA9"/>
    <w:rsid w:val="00810D13"/>
    <w:rsid w:val="00854828"/>
    <w:rsid w:val="00A25439"/>
    <w:rsid w:val="00A71DF5"/>
    <w:rsid w:val="00AE28BE"/>
    <w:rsid w:val="00AF1375"/>
    <w:rsid w:val="00B75E25"/>
    <w:rsid w:val="00D20C80"/>
    <w:rsid w:val="00D8361E"/>
    <w:rsid w:val="00E2650E"/>
    <w:rsid w:val="00E86142"/>
    <w:rsid w:val="00EE4F7A"/>
    <w:rsid w:val="00F47CAE"/>
    <w:rsid w:val="00F8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4CE8D5E"/>
  <w15:docId w15:val="{321CCD01-F55E-4EDC-B1C7-899D4A25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19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E75A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8BE"/>
  </w:style>
  <w:style w:type="paragraph" w:styleId="Piedepgina">
    <w:name w:val="footer"/>
    <w:basedOn w:val="Normal"/>
    <w:link w:val="PiedepginaCar"/>
    <w:uiPriority w:val="99"/>
    <w:unhideWhenUsed/>
    <w:rsid w:val="00AE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8BE"/>
  </w:style>
  <w:style w:type="paragraph" w:styleId="Textodeglobo">
    <w:name w:val="Balloon Text"/>
    <w:basedOn w:val="Normal"/>
    <w:link w:val="TextodegloboCar"/>
    <w:uiPriority w:val="99"/>
    <w:semiHidden/>
    <w:unhideWhenUsed/>
    <w:rsid w:val="0067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A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6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F709-82BA-4400-A41F-E8E008B6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ENAIRE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Vicente, Lidia</dc:creator>
  <cp:lastModifiedBy>Meco Rodriguez, Claudia</cp:lastModifiedBy>
  <cp:revision>13</cp:revision>
  <dcterms:created xsi:type="dcterms:W3CDTF">2020-04-21T07:29:00Z</dcterms:created>
  <dcterms:modified xsi:type="dcterms:W3CDTF">2023-05-04T10:05:00Z</dcterms:modified>
</cp:coreProperties>
</file>